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Отчет о деятельности</w:t>
      </w:r>
      <w:r>
        <w:rPr>
          <w:rFonts w:ascii="PT Astra Serif" w:hAnsi="PT Astra Serif"/>
          <w:b/>
          <w:sz w:val="28"/>
          <w:szCs w:val="28"/>
        </w:rPr>
        <w:t xml:space="preserve"> постоянного</w:t>
      </w:r>
      <w:r>
        <w:rPr>
          <w:rFonts w:ascii="PT Astra Serif" w:hAnsi="PT Astra Serif"/>
          <w:b/>
          <w:sz w:val="28"/>
          <w:szCs w:val="28"/>
        </w:rPr>
        <w:t xml:space="preserve"> комитета Алтайского краевого Законодательного Собрания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по строительству, жилищно-коммунальном</w:t>
      </w:r>
      <w:r>
        <w:rPr>
          <w:rFonts w:ascii="PT Astra Serif" w:hAnsi="PT Astra Serif"/>
          <w:b/>
          <w:sz w:val="28"/>
          <w:szCs w:val="28"/>
        </w:rPr>
        <w:t xml:space="preserve">у хозяйству </w:t>
      </w:r>
      <w:r>
        <w:rPr>
          <w:rFonts w:ascii="PT Astra Serif" w:hAnsi="PT Astra Serif"/>
          <w:b/>
          <w:sz w:val="28"/>
          <w:szCs w:val="28"/>
        </w:rPr>
        <w:t xml:space="preserve">за </w:t>
      </w:r>
      <w:r>
        <w:rPr>
          <w:rFonts w:ascii="PT Astra Serif" w:hAnsi="PT Astra Serif"/>
          <w:b/>
          <w:sz w:val="28"/>
          <w:szCs w:val="28"/>
        </w:rPr>
        <w:t xml:space="preserve">20</w:t>
      </w:r>
      <w:r>
        <w:rPr>
          <w:rFonts w:ascii="PT Astra Serif" w:hAnsi="PT Astra Serif"/>
          <w:b/>
          <w:sz w:val="28"/>
          <w:szCs w:val="28"/>
        </w:rPr>
        <w:t xml:space="preserve">2</w:t>
      </w:r>
      <w:r>
        <w:rPr>
          <w:rFonts w:ascii="PT Astra Serif" w:hAnsi="PT Astra Serif"/>
          <w:b/>
          <w:sz w:val="28"/>
          <w:szCs w:val="28"/>
        </w:rPr>
        <w:t xml:space="preserve">5 </w:t>
      </w:r>
      <w:r>
        <w:rPr>
          <w:rFonts w:ascii="PT Astra Serif" w:hAnsi="PT Astra Serif"/>
          <w:b/>
          <w:sz w:val="28"/>
          <w:szCs w:val="28"/>
        </w:rPr>
        <w:t xml:space="preserve">год</w:t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</w:t>
      </w:r>
      <w:r>
        <w:rPr>
          <w:rFonts w:ascii="PT Astra Serif" w:hAnsi="PT Astra Serif" w:cs="Times New Roman"/>
          <w:sz w:val="28"/>
          <w:szCs w:val="28"/>
        </w:rPr>
        <w:t xml:space="preserve">еятельность постоянного комитета Алтайского краевого Законодательного Собрания </w:t>
      </w:r>
      <w:r>
        <w:rPr>
          <w:rFonts w:ascii="PT Astra Serif" w:hAnsi="PT Astra Serif" w:cs="Times New Roman"/>
          <w:sz w:val="28"/>
          <w:szCs w:val="28"/>
        </w:rPr>
        <w:t xml:space="preserve">по строительству, жилищно-коммунальному хозяйству, транспорту и связи </w:t>
      </w:r>
      <w:r>
        <w:rPr>
          <w:rFonts w:ascii="PT Astra Serif" w:hAnsi="PT Astra Serif" w:cs="Times New Roman"/>
          <w:sz w:val="28"/>
          <w:szCs w:val="28"/>
        </w:rPr>
        <w:t xml:space="preserve">(далее – комитет)</w:t>
      </w:r>
      <w:r>
        <w:rPr>
          <w:rFonts w:ascii="PT Astra Serif" w:hAnsi="PT Astra Serif" w:cs="Times New Roman"/>
          <w:sz w:val="28"/>
          <w:szCs w:val="28"/>
        </w:rPr>
        <w:t xml:space="preserve"> осуществлялась в соответствии с Регламентом Алтайского краевого Законодательного Собрания,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Положением о постоянных комитетах Алтайского краевого Законодательного Собрания</w:t>
      </w:r>
      <w:r>
        <w:rPr>
          <w:rFonts w:ascii="PT Astra Serif" w:hAnsi="PT Astra Serif" w:cs="Times New Roman"/>
          <w:sz w:val="28"/>
          <w:szCs w:val="28"/>
        </w:rPr>
        <w:t xml:space="preserve">, п</w:t>
      </w:r>
      <w:r>
        <w:rPr>
          <w:rFonts w:ascii="PT Astra Serif" w:hAnsi="PT Astra Serif" w:cs="Times New Roman"/>
          <w:sz w:val="28"/>
          <w:szCs w:val="28"/>
        </w:rPr>
        <w:t xml:space="preserve">лан</w:t>
      </w:r>
      <w:r>
        <w:rPr>
          <w:rFonts w:ascii="PT Astra Serif" w:hAnsi="PT Astra Serif" w:cs="Times New Roman"/>
          <w:sz w:val="28"/>
          <w:szCs w:val="28"/>
        </w:rPr>
        <w:t xml:space="preserve">ами</w:t>
      </w:r>
      <w:r>
        <w:rPr>
          <w:rFonts w:ascii="PT Astra Serif" w:hAnsi="PT Astra Serif" w:cs="Times New Roman"/>
          <w:sz w:val="28"/>
          <w:szCs w:val="28"/>
        </w:rPr>
        <w:t xml:space="preserve"> деятельности Алтайского краевого Законодательного Собрания на первое и второе полугодие 20</w:t>
      </w:r>
      <w:r>
        <w:rPr>
          <w:rFonts w:ascii="PT Astra Serif" w:hAnsi="PT Astra Serif" w:cs="Times New Roman"/>
          <w:sz w:val="28"/>
          <w:szCs w:val="28"/>
        </w:rPr>
        <w:t xml:space="preserve">2</w:t>
      </w:r>
      <w:r>
        <w:rPr>
          <w:rFonts w:ascii="PT Astra Serif" w:hAnsi="PT Astra Serif" w:cs="Times New Roman"/>
          <w:sz w:val="28"/>
          <w:szCs w:val="28"/>
        </w:rPr>
        <w:t xml:space="preserve">5</w:t>
      </w:r>
      <w:r>
        <w:rPr>
          <w:rFonts w:ascii="PT Astra Serif" w:hAnsi="PT Astra Serif" w:cs="Times New Roman"/>
          <w:sz w:val="28"/>
          <w:szCs w:val="28"/>
        </w:rPr>
        <w:t xml:space="preserve"> года и была направлена на совершенствование нормативн</w:t>
      </w:r>
      <w:r>
        <w:rPr>
          <w:rFonts w:ascii="PT Astra Serif" w:hAnsi="PT Astra Serif" w:cs="Times New Roman"/>
          <w:sz w:val="28"/>
          <w:szCs w:val="28"/>
        </w:rPr>
        <w:t xml:space="preserve">ой</w:t>
      </w:r>
      <w:r>
        <w:rPr>
          <w:rFonts w:ascii="PT Astra Serif" w:hAnsi="PT Astra Serif" w:cs="Times New Roman"/>
          <w:sz w:val="28"/>
          <w:szCs w:val="28"/>
        </w:rPr>
        <w:t xml:space="preserve"> правовой базы</w:t>
      </w:r>
      <w:r>
        <w:rPr>
          <w:rFonts w:ascii="PT Astra Serif" w:hAnsi="PT Astra Serif" w:cs="Times New Roman"/>
          <w:sz w:val="28"/>
          <w:szCs w:val="28"/>
        </w:rPr>
        <w:t xml:space="preserve"> в сферах, относящихся к</w:t>
      </w:r>
      <w:r>
        <w:rPr>
          <w:rFonts w:ascii="PT Astra Serif" w:hAnsi="PT Astra Serif" w:cs="Times New Roman"/>
          <w:sz w:val="28"/>
          <w:szCs w:val="28"/>
        </w:rPr>
        <w:t xml:space="preserve"> вопросам ведения комитета. </w:t>
      </w:r>
    </w:p>
    <w:p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Специфика работы постоянного комитета Алтайского краевого Законодательного Собрания по строительству, жилищно-коммунальному хозяйству, транспорту и связи такова, что что значительная часть вопросов ведения комитета регулируется нормативными актами, принимаемыми на федеральном уровне. Вместе с тем в фокусе постоянного внимания комитета остаются вопросы, касающиеся повседневной жизни жителей региона. Среди ключевых направлений подготовка и прохождение отопительного сезона, организация капитального ремонта многоквартирных домов, модернизация коммунальной инфраструктуры в рамках государственных программ, итоги и планы дорожных работ, организация транспортного обслуживания населения. Проводимая по этим направлениям работа отражает комплексный подход к решению ключевых социально-экономических проблем Алтайского края, направленных на повышение качества жизни населения и создание комфортных условий проживания.</w:t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 отчетный период проведено 1</w:t>
      </w:r>
      <w:r>
        <w:rPr>
          <w:rFonts w:ascii="PT Astra Serif" w:hAnsi="PT Astra Serif" w:cs="Times New Roman"/>
          <w:sz w:val="28"/>
          <w:szCs w:val="28"/>
        </w:rPr>
        <w:t xml:space="preserve">2</w:t>
      </w:r>
      <w:r>
        <w:rPr>
          <w:rFonts w:ascii="PT Astra Serif" w:hAnsi="PT Astra Serif" w:cs="Times New Roman"/>
          <w:sz w:val="28"/>
          <w:szCs w:val="28"/>
        </w:rPr>
        <w:t xml:space="preserve"> заседаний комитета</w:t>
      </w:r>
      <w:r>
        <w:rPr>
          <w:rFonts w:ascii="PT Astra Serif" w:hAnsi="PT Astra Serif" w:cs="Times New Roman"/>
          <w:sz w:val="28"/>
          <w:szCs w:val="28"/>
        </w:rPr>
        <w:t xml:space="preserve">, в том числе одно внеочередное расширенное с участием министра транспорта Алтайского края А.А. Подоляна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 xml:space="preserve">Всего на заседаниях </w:t>
      </w:r>
      <w:r>
        <w:rPr>
          <w:rFonts w:ascii="PT Astra Serif" w:hAnsi="PT Astra Serif" w:cs="Times New Roman"/>
          <w:sz w:val="28"/>
          <w:szCs w:val="28"/>
        </w:rPr>
        <w:t xml:space="preserve">комитета при </w:t>
      </w:r>
      <w:r>
        <w:rPr>
          <w:rFonts w:ascii="PT Astra Serif" w:hAnsi="PT Astra Serif" w:cs="Times New Roman"/>
          <w:sz w:val="28"/>
          <w:szCs w:val="28"/>
        </w:rPr>
        <w:t xml:space="preserve">участи</w:t>
      </w:r>
      <w:r>
        <w:rPr>
          <w:rFonts w:ascii="PT Astra Serif" w:hAnsi="PT Astra Serif" w:cs="Times New Roman"/>
          <w:sz w:val="28"/>
          <w:szCs w:val="28"/>
        </w:rPr>
        <w:t xml:space="preserve">и</w:t>
      </w:r>
      <w:r>
        <w:rPr>
          <w:rFonts w:ascii="PT Astra Serif" w:hAnsi="PT Astra Serif" w:cs="Times New Roman"/>
          <w:sz w:val="28"/>
          <w:szCs w:val="28"/>
        </w:rPr>
        <w:t xml:space="preserve"> представителей </w:t>
      </w:r>
      <w:r>
        <w:rPr>
          <w:rFonts w:ascii="PT Astra Serif" w:hAnsi="PT Astra Serif" w:cs="Times New Roman"/>
          <w:sz w:val="28"/>
          <w:szCs w:val="28"/>
        </w:rPr>
        <w:t xml:space="preserve">исполнител</w:t>
      </w:r>
      <w:r>
        <w:rPr>
          <w:rFonts w:ascii="PT Astra Serif" w:hAnsi="PT Astra Serif" w:cs="Times New Roman"/>
          <w:sz w:val="28"/>
          <w:szCs w:val="28"/>
        </w:rPr>
        <w:t xml:space="preserve">ьных органов </w:t>
      </w:r>
      <w:r>
        <w:rPr>
          <w:rFonts w:ascii="PT Astra Serif" w:hAnsi="PT Astra Serif" w:cs="Times New Roman"/>
          <w:sz w:val="28"/>
          <w:szCs w:val="28"/>
        </w:rPr>
        <w:t xml:space="preserve">Алтайского края</w:t>
      </w:r>
      <w:r>
        <w:rPr>
          <w:rFonts w:ascii="PT Astra Serif" w:hAnsi="PT Astra Serif" w:cs="Times New Roman"/>
          <w:sz w:val="28"/>
          <w:szCs w:val="28"/>
        </w:rPr>
        <w:t xml:space="preserve">,</w:t>
      </w:r>
      <w:r>
        <w:rPr>
          <w:rFonts w:ascii="PT Astra Serif" w:hAnsi="PT Astra Serif" w:cs="Times New Roman"/>
          <w:sz w:val="28"/>
          <w:szCs w:val="28"/>
        </w:rPr>
        <w:t xml:space="preserve"> органов местного самоуправления,</w:t>
      </w:r>
      <w:r>
        <w:rPr>
          <w:rFonts w:ascii="PT Astra Serif" w:hAnsi="PT Astra Serif" w:cs="Times New Roman"/>
          <w:sz w:val="28"/>
          <w:szCs w:val="28"/>
        </w:rPr>
        <w:t xml:space="preserve"> Общественной палаты Алтайского края, Счетной палаты Алтайского края, </w:t>
      </w:r>
      <w:r>
        <w:rPr>
          <w:rFonts w:ascii="PT Astra Serif" w:hAnsi="PT Astra Serif" w:cs="Times New Roman"/>
          <w:sz w:val="28"/>
          <w:szCs w:val="28"/>
        </w:rPr>
        <w:t xml:space="preserve">представителей общественных объединений</w:t>
      </w:r>
      <w:r>
        <w:rPr>
          <w:rFonts w:ascii="PT Astra Serif" w:hAnsi="PT Astra Serif" w:cs="Times New Roman"/>
          <w:sz w:val="28"/>
          <w:szCs w:val="28"/>
        </w:rPr>
        <w:t xml:space="preserve"> рассмотрено </w:t>
      </w:r>
      <w:r>
        <w:rPr>
          <w:rFonts w:ascii="PT Astra Serif" w:hAnsi="PT Astra Serif" w:cs="Times New Roman"/>
          <w:sz w:val="28"/>
          <w:szCs w:val="28"/>
        </w:rPr>
        <w:t xml:space="preserve">2</w:t>
      </w:r>
      <w:r>
        <w:rPr>
          <w:rFonts w:ascii="PT Astra Serif" w:hAnsi="PT Astra Serif" w:cs="Times New Roman"/>
          <w:sz w:val="28"/>
          <w:szCs w:val="28"/>
        </w:rPr>
        <w:t xml:space="preserve">8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вопрос</w:t>
      </w:r>
      <w:r>
        <w:rPr>
          <w:rFonts w:ascii="PT Astra Serif" w:hAnsi="PT Astra Serif" w:cs="Times New Roman"/>
          <w:sz w:val="28"/>
          <w:szCs w:val="28"/>
        </w:rPr>
        <w:t xml:space="preserve">ов</w:t>
      </w:r>
      <w:r>
        <w:rPr>
          <w:rFonts w:ascii="PT Astra Serif" w:hAnsi="PT Astra Serif" w:cs="Times New Roman"/>
          <w:sz w:val="28"/>
          <w:szCs w:val="28"/>
        </w:rPr>
        <w:t xml:space="preserve"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Кроме вопросов повесток сессий Алтайского краевого Законодательного Собрания </w:t>
      </w:r>
      <w:r>
        <w:rPr>
          <w:rFonts w:ascii="PT Astra Serif" w:hAnsi="PT Astra Serif" w:cs="Times New Roman"/>
          <w:sz w:val="28"/>
          <w:szCs w:val="28"/>
        </w:rPr>
        <w:t xml:space="preserve">д</w:t>
      </w:r>
      <w:r>
        <w:rPr>
          <w:rFonts w:ascii="PT Astra Serif" w:hAnsi="PT Astra Serif" w:cs="Times New Roman"/>
          <w:sz w:val="28"/>
          <w:szCs w:val="28"/>
        </w:rPr>
        <w:t xml:space="preserve">епутаты заслушивали информацию о реализации государственных программ, а также доклады представителей профильных министерств и управлений об итогах работы ведом</w:t>
      </w:r>
      <w:r>
        <w:rPr>
          <w:rFonts w:ascii="PT Astra Serif" w:hAnsi="PT Astra Serif" w:cs="Times New Roman"/>
          <w:sz w:val="28"/>
          <w:szCs w:val="28"/>
        </w:rPr>
        <w:t xml:space="preserve">с</w:t>
      </w:r>
      <w:r>
        <w:rPr>
          <w:rFonts w:ascii="PT Astra Serif" w:hAnsi="PT Astra Serif" w:cs="Times New Roman"/>
          <w:sz w:val="28"/>
          <w:szCs w:val="28"/>
        </w:rPr>
        <w:t xml:space="preserve">тв за год и планах на предстоящий период.</w:t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Подготовка</w:t>
      </w:r>
      <w:r>
        <w:rPr>
          <w:rFonts w:ascii="PT Astra Serif" w:hAnsi="PT Astra Serif" w:cs="Times New Roman"/>
          <w:sz w:val="28"/>
          <w:szCs w:val="28"/>
        </w:rPr>
        <w:t xml:space="preserve"> законопроектов</w:t>
      </w:r>
      <w:r>
        <w:rPr>
          <w:rFonts w:ascii="PT Astra Serif" w:hAnsi="PT Astra Serif" w:cs="Times New Roman"/>
          <w:sz w:val="28"/>
          <w:szCs w:val="28"/>
        </w:rPr>
        <w:t xml:space="preserve"> по вопросам ведения комитета</w:t>
      </w:r>
      <w:r>
        <w:rPr>
          <w:rFonts w:ascii="PT Astra Serif" w:hAnsi="PT Astra Serif" w:cs="Times New Roman"/>
          <w:sz w:val="28"/>
          <w:szCs w:val="28"/>
        </w:rPr>
        <w:t xml:space="preserve"> осуществляется с учетом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мнения профильных ведомств,</w:t>
      </w:r>
      <w:r>
        <w:rPr>
          <w:rFonts w:ascii="PT Astra Serif" w:hAnsi="PT Astra Serif" w:cs="Times New Roman"/>
          <w:sz w:val="28"/>
          <w:szCs w:val="28"/>
        </w:rPr>
        <w:t xml:space="preserve"> должностных лиц</w:t>
      </w:r>
      <w:r>
        <w:rPr>
          <w:rFonts w:ascii="PT Astra Serif" w:hAnsi="PT Astra Serif" w:cs="Times New Roman"/>
          <w:sz w:val="28"/>
          <w:szCs w:val="28"/>
        </w:rPr>
        <w:t xml:space="preserve"> и общественных объединений</w:t>
      </w:r>
      <w:r>
        <w:rPr>
          <w:rFonts w:ascii="PT Astra Serif" w:hAnsi="PT Astra Serif" w:cs="Times New Roman"/>
          <w:sz w:val="28"/>
          <w:szCs w:val="28"/>
        </w:rPr>
        <w:t xml:space="preserve">. Такая работа проводится в различных форматах, среди которых – заседания рабочих групп, совещания, выездные заседания комитета, круглые столы.</w:t>
      </w:r>
      <w:r>
        <w:rPr>
          <w:rFonts w:ascii="PT Astra Serif" w:hAnsi="PT Astra Serif" w:cs="Times New Roman"/>
          <w:sz w:val="28"/>
          <w:szCs w:val="28"/>
        </w:rPr>
        <w:t xml:space="preserve"> В отчетном периоде для доработки ко второму чтению проекта закона</w:t>
      </w:r>
      <w:r>
        <w:t xml:space="preserve"> </w:t>
      </w:r>
      <w: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Об установлении требований, при соблюдении которых </w:t>
      </w:r>
      <w:r>
        <w:rPr>
          <w:rFonts w:ascii="PT Astra Serif" w:hAnsi="PT Astra Serif" w:cs="Times New Roman"/>
          <w:sz w:val="28"/>
          <w:szCs w:val="28"/>
        </w:rPr>
        <w:t xml:space="preserve">территории ведения гражданами садоводства или огородничества для собственных нужд могут быть включены в границы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населенного пункта либо в границах территории садоводства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может быть образован новый населенный пункт</w:t>
      </w:r>
      <w:r>
        <w:rPr>
          <w:rFonts w:ascii="PT Astra Serif" w:hAnsi="PT Astra Serif" w:cs="Times New Roman"/>
          <w:sz w:val="28"/>
          <w:szCs w:val="28"/>
        </w:rPr>
        <w:t xml:space="preserve">» была создана рабочая группа, в рамках работы которой </w:t>
      </w:r>
      <w:r>
        <w:rPr>
          <w:rFonts w:ascii="PT Astra Serif" w:hAnsi="PT Astra Serif" w:cs="PT Astra Serif"/>
          <w:sz w:val="28"/>
          <w:szCs w:val="28"/>
        </w:rPr>
        <w:t xml:space="preserve">с учетом опыта регионов</w:t>
      </w:r>
      <w:r>
        <w:rPr>
          <w:rFonts w:ascii="PT Astra Serif" w:hAnsi="PT Astra Serif" w:cs="PT Astra Serif"/>
          <w:sz w:val="28"/>
          <w:szCs w:val="28"/>
        </w:rPr>
        <w:t xml:space="preserve"> и предложений членов рабочей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группы были в окончательной редакции сформированы</w:t>
      </w:r>
      <w:r>
        <w:rPr>
          <w:rFonts w:ascii="PT Astra Serif" w:hAnsi="PT Astra Serif" w:cs="PT Astra Serif"/>
          <w:sz w:val="28"/>
          <w:szCs w:val="28"/>
        </w:rPr>
        <w:t xml:space="preserve"> критери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 при одновременном соблюдении которых СНТ может быть включено в состав населенного пункта либо образовать новый населенный пункт.</w:t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20</w:t>
      </w:r>
      <w:r>
        <w:rPr>
          <w:rFonts w:ascii="PT Astra Serif" w:hAnsi="PT Astra Serif" w:cs="Times New Roman"/>
          <w:sz w:val="28"/>
          <w:szCs w:val="28"/>
        </w:rPr>
        <w:t xml:space="preserve">2</w:t>
      </w:r>
      <w:r>
        <w:rPr>
          <w:rFonts w:ascii="PT Astra Serif" w:hAnsi="PT Astra Serif" w:cs="Times New Roman"/>
          <w:sz w:val="28"/>
          <w:szCs w:val="28"/>
        </w:rPr>
        <w:t xml:space="preserve">5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году по </w:t>
      </w:r>
      <w:r>
        <w:rPr>
          <w:rFonts w:ascii="PT Astra Serif" w:hAnsi="PT Astra Serif" w:cs="Times New Roman"/>
          <w:sz w:val="28"/>
          <w:szCs w:val="28"/>
        </w:rPr>
        <w:t xml:space="preserve">вопросам</w:t>
      </w:r>
      <w:r>
        <w:rPr>
          <w:rFonts w:ascii="PT Astra Serif" w:hAnsi="PT Astra Serif" w:cs="Times New Roman"/>
          <w:sz w:val="28"/>
          <w:szCs w:val="28"/>
        </w:rPr>
        <w:t xml:space="preserve"> ведения</w:t>
      </w:r>
      <w:r>
        <w:rPr>
          <w:rFonts w:ascii="PT Astra Serif" w:hAnsi="PT Astra Serif" w:cs="Times New Roman"/>
          <w:sz w:val="28"/>
          <w:szCs w:val="28"/>
        </w:rPr>
        <w:t xml:space="preserve"> постоянного </w:t>
      </w:r>
      <w:r>
        <w:rPr>
          <w:rFonts w:ascii="PT Astra Serif" w:hAnsi="PT Astra Serif" w:cs="Times New Roman"/>
          <w:sz w:val="28"/>
          <w:szCs w:val="28"/>
        </w:rPr>
        <w:t xml:space="preserve">комитет</w:t>
      </w:r>
      <w:r>
        <w:rPr>
          <w:rFonts w:ascii="PT Astra Serif" w:hAnsi="PT Astra Serif" w:cs="Times New Roman"/>
          <w:sz w:val="28"/>
          <w:szCs w:val="28"/>
        </w:rPr>
        <w:t xml:space="preserve">а</w:t>
      </w:r>
      <w:r>
        <w:rPr>
          <w:rFonts w:ascii="PT Astra Serif" w:hAnsi="PT Astra Serif" w:cs="Times New Roman"/>
          <w:sz w:val="28"/>
          <w:szCs w:val="28"/>
        </w:rPr>
        <w:t xml:space="preserve"> было разработано и принято</w:t>
      </w:r>
      <w:r>
        <w:rPr>
          <w:rFonts w:ascii="PT Astra Serif" w:hAnsi="PT Astra Serif" w:cs="Times New Roman"/>
          <w:sz w:val="28"/>
          <w:szCs w:val="28"/>
        </w:rPr>
        <w:t xml:space="preserve"> 9</w:t>
      </w:r>
      <w:r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 xml:space="preserve">ов</w:t>
      </w:r>
      <w:r>
        <w:rPr>
          <w:rFonts w:ascii="PT Astra Serif" w:hAnsi="PT Astra Serif" w:cs="Times New Roman"/>
          <w:sz w:val="28"/>
          <w:szCs w:val="28"/>
        </w:rPr>
        <w:t xml:space="preserve"> Алтайского края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и </w:t>
      </w:r>
      <w:r>
        <w:rPr>
          <w:rFonts w:ascii="PT Astra Serif" w:hAnsi="PT Astra Serif" w:cs="Times New Roman"/>
          <w:sz w:val="28"/>
          <w:szCs w:val="28"/>
        </w:rPr>
        <w:t xml:space="preserve">1</w:t>
      </w:r>
      <w:r>
        <w:rPr>
          <w:rFonts w:ascii="PT Astra Serif" w:hAnsi="PT Astra Serif" w:cs="Times New Roman"/>
          <w:sz w:val="28"/>
          <w:szCs w:val="28"/>
        </w:rPr>
        <w:t xml:space="preserve"> постановлени</w:t>
      </w:r>
      <w:r>
        <w:rPr>
          <w:rFonts w:ascii="PT Astra Serif" w:hAnsi="PT Astra Serif" w:cs="Times New Roman"/>
          <w:sz w:val="28"/>
          <w:szCs w:val="28"/>
        </w:rPr>
        <w:t xml:space="preserve">е </w:t>
      </w:r>
      <w:r>
        <w:rPr>
          <w:rFonts w:ascii="PT Astra Serif" w:hAnsi="PT Astra Serif" w:cs="Times New Roman"/>
          <w:sz w:val="28"/>
          <w:szCs w:val="28"/>
        </w:rPr>
        <w:t xml:space="preserve">Алтайского краевого Законодательного Собрания</w:t>
      </w:r>
      <w:r>
        <w:rPr>
          <w:rFonts w:ascii="PT Astra Serif" w:hAnsi="PT Astra Serif" w:cs="Times New Roman"/>
          <w:sz w:val="28"/>
          <w:szCs w:val="28"/>
        </w:rPr>
        <w:t xml:space="preserve">: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от 03.04.2025 № 24-ЗС «О внесении изменений в закон Алтайского края «Об автомобильных дорогах и о дорожной деятельности в Алтайском крае»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от 03.04.2025г. № 26-ЗС О внесении изменений в закон Алтайского края «О градостроительной деятельности на территории Алтайского края»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от 03.04.2025 № 25-ЗС «О внесении изменений в статьи 11 и 14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от 02.07.2025 № 57-ЗС «О внесении изменений в статьи 10.1 и 23 закона Алтайского края «О градостроительной деятельности на территории Алтайского края»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от 03.10.2025 года №74-ЗС «О внесении изменений в закон Алтайского края «Об автомобильных дорогах и о дорожной деятельности в Алтайском крае»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от 03.12.2025 № 101-ЗС «О внесении изменения в статью 3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03.12.2025 № 99-ЗС «О внесении изменений в закон Алтайского края «О градостроительной деятельности на территории Алтайского края»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03.12.2025 № 100-ЗС «Об установлении требований, при соблюдении которых территории ведения гражданами садоводства или огородничества для собственных нужд могут быть включены в границы населенного пункта либо в границах территории садоводства может быть образован новый населенный пункт</w:t>
      </w:r>
      <w:r>
        <w:rPr>
          <w:rFonts w:ascii="PT Astra Serif" w:hAnsi="PT Astra Serif" w:cs="Times New Roman"/>
          <w:sz w:val="28"/>
          <w:szCs w:val="28"/>
        </w:rPr>
        <w:t xml:space="preserve">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9.</w:t>
      </w:r>
      <w:r>
        <w:rPr>
          <w:rFonts w:ascii="PT Astra Serif" w:hAnsi="PT Astra Serif" w:cs="Times New Roman"/>
          <w:sz w:val="28"/>
          <w:szCs w:val="28"/>
        </w:rPr>
        <w:tab/>
        <w:t xml:space="preserve">Закон Алтайского края 03.12.2025 № 103-ЗС «О внесении изменений в закон Алтайского края «Об организации транспортного обслужива</w:t>
      </w:r>
      <w:r>
        <w:rPr>
          <w:rFonts w:ascii="PT Astra Serif" w:hAnsi="PT Astra Serif" w:cs="Times New Roman"/>
          <w:sz w:val="28"/>
          <w:szCs w:val="28"/>
        </w:rPr>
        <w:t xml:space="preserve">ния населения в Алтайском крае»;</w:t>
      </w:r>
    </w:p>
    <w:p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10. </w:t>
      </w:r>
      <w:r>
        <w:rPr>
          <w:rFonts w:ascii="PT Astra Serif" w:hAnsi="PT Astra Serif" w:cs="Times New Roman"/>
          <w:sz w:val="28"/>
          <w:szCs w:val="28"/>
        </w:rPr>
        <w:t xml:space="preserve">Постановление Алтайского краевого Законодательного Собрания от 28.02.2025 № 27 «О поправках к проекту феде</w:t>
      </w:r>
      <w:r>
        <w:rPr>
          <w:rFonts w:ascii="PT Astra Serif" w:hAnsi="PT Astra Serif" w:cs="Times New Roman"/>
          <w:sz w:val="28"/>
          <w:szCs w:val="28"/>
        </w:rPr>
        <w:t xml:space="preserve">рального закона № 751834-8</w:t>
      </w:r>
      <w:r>
        <w:rPr>
          <w:rFonts w:ascii="PT Astra Serif" w:hAnsi="PT Astra Serif" w:cs="Times New Roman"/>
          <w:sz w:val="28"/>
          <w:szCs w:val="28"/>
        </w:rPr>
        <w:t xml:space="preserve"> «О внесении изменений в Федеральный закон «Об отходах производства и потребления» и отдельные законодательные акты Российской Федерации» (в части выявления и ликвидации мест несанкционированного складирования отходов)</w:t>
      </w:r>
      <w:r>
        <w:rPr>
          <w:rFonts w:ascii="PT Astra Serif" w:hAnsi="PT Astra Serif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комитет поступило </w:t>
      </w:r>
      <w:r>
        <w:rPr>
          <w:rFonts w:ascii="PT Astra Serif" w:hAnsi="PT Astra Serif"/>
          <w:sz w:val="28"/>
          <w:szCs w:val="28"/>
        </w:rPr>
        <w:t xml:space="preserve">51</w:t>
      </w:r>
      <w:r>
        <w:rPr>
          <w:rFonts w:ascii="PT Astra Serif" w:hAnsi="PT Astra Serif"/>
          <w:sz w:val="28"/>
          <w:szCs w:val="28"/>
        </w:rPr>
        <w:t xml:space="preserve"> обращени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граждан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Заявители обращались по вопросам, связанным с благоустройством </w:t>
      </w:r>
      <w:r>
        <w:rPr>
          <w:rFonts w:ascii="PT Astra Serif" w:hAnsi="PT Astra Serif"/>
          <w:sz w:val="28"/>
          <w:szCs w:val="28"/>
        </w:rPr>
        <w:t xml:space="preserve">придомовых территорий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начисления</w:t>
      </w:r>
      <w:r>
        <w:rPr>
          <w:rFonts w:ascii="PT Astra Serif" w:hAnsi="PT Astra Serif"/>
          <w:sz w:val="28"/>
          <w:szCs w:val="28"/>
        </w:rPr>
        <w:t xml:space="preserve">ми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платы </w:t>
      </w:r>
      <w:r>
        <w:rPr>
          <w:rFonts w:ascii="PT Astra Serif" w:hAnsi="PT Astra Serif"/>
          <w:sz w:val="28"/>
          <w:szCs w:val="28"/>
        </w:rPr>
        <w:t xml:space="preserve">за </w:t>
      </w:r>
      <w:r>
        <w:rPr>
          <w:rFonts w:ascii="PT Astra Serif" w:hAnsi="PT Astra Serif"/>
          <w:sz w:val="28"/>
          <w:szCs w:val="28"/>
        </w:rPr>
        <w:t xml:space="preserve">жилищно-коммунальны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 xml:space="preserve">и</w:t>
      </w:r>
      <w:r>
        <w:rPr>
          <w:rFonts w:ascii="PT Astra Serif" w:hAnsi="PT Astra Serif"/>
          <w:sz w:val="28"/>
          <w:szCs w:val="28"/>
        </w:rPr>
        <w:t xml:space="preserve">, ремонт</w:t>
      </w:r>
      <w:r>
        <w:rPr>
          <w:rFonts w:ascii="PT Astra Serif" w:hAnsi="PT Astra Serif"/>
          <w:sz w:val="28"/>
          <w:szCs w:val="28"/>
        </w:rPr>
        <w:t xml:space="preserve">ом</w:t>
      </w:r>
      <w:r>
        <w:rPr>
          <w:rFonts w:ascii="PT Astra Serif" w:hAnsi="PT Astra Serif"/>
          <w:sz w:val="28"/>
          <w:szCs w:val="28"/>
        </w:rPr>
        <w:t xml:space="preserve"> дорог,</w:t>
      </w:r>
      <w:r>
        <w:rPr>
          <w:rFonts w:ascii="PT Astra Serif" w:hAnsi="PT Astra Serif"/>
          <w:sz w:val="28"/>
          <w:szCs w:val="28"/>
        </w:rPr>
        <w:t xml:space="preserve"> транспортн</w:t>
      </w:r>
      <w:r>
        <w:rPr>
          <w:rFonts w:ascii="PT Astra Serif" w:hAnsi="PT Astra Serif"/>
          <w:sz w:val="28"/>
          <w:szCs w:val="28"/>
        </w:rPr>
        <w:t xml:space="preserve">ым</w:t>
      </w:r>
      <w:r>
        <w:rPr>
          <w:rFonts w:ascii="PT Astra Serif" w:hAnsi="PT Astra Serif"/>
          <w:sz w:val="28"/>
          <w:szCs w:val="28"/>
        </w:rPr>
        <w:t xml:space="preserve"> обслуживани</w:t>
      </w:r>
      <w:r>
        <w:rPr>
          <w:rFonts w:ascii="PT Astra Serif" w:hAnsi="PT Astra Serif"/>
          <w:sz w:val="28"/>
          <w:szCs w:val="28"/>
        </w:rPr>
        <w:t xml:space="preserve">ем населения</w:t>
      </w:r>
      <w:r>
        <w:rPr>
          <w:rFonts w:ascii="PT Astra Serif" w:hAnsi="PT Astra Serif"/>
          <w:sz w:val="28"/>
          <w:szCs w:val="28"/>
        </w:rPr>
        <w:t xml:space="preserve">, работ</w:t>
      </w:r>
      <w:r>
        <w:rPr>
          <w:rFonts w:ascii="PT Astra Serif" w:hAnsi="PT Astra Serif"/>
          <w:sz w:val="28"/>
          <w:szCs w:val="28"/>
        </w:rPr>
        <w:t xml:space="preserve">ой </w:t>
      </w:r>
      <w:r>
        <w:rPr>
          <w:rFonts w:ascii="PT Astra Serif" w:hAnsi="PT Astra Serif"/>
          <w:sz w:val="28"/>
          <w:szCs w:val="28"/>
        </w:rPr>
        <w:t xml:space="preserve">почтовых отделений</w:t>
      </w:r>
      <w:r>
        <w:rPr>
          <w:rFonts w:ascii="PT Astra Serif" w:hAnsi="PT Astra Serif"/>
          <w:sz w:val="28"/>
          <w:szCs w:val="28"/>
        </w:rPr>
        <w:t xml:space="preserve"> и многим другим. Все они были рассмотрены в соответствии с положениями Федерального закона «О порядке рассмотрения обращений граждан Российской Федерации» от 2 мая 2006</w:t>
      </w:r>
      <w:r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№ 59-ФЗ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сентябре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текущего года в Парламентском центре состоялся Правительственный час с </w:t>
      </w:r>
      <w:r>
        <w:rPr>
          <w:rFonts w:ascii="PT Astra Serif" w:hAnsi="PT Astra Serif"/>
          <w:sz w:val="28"/>
          <w:szCs w:val="28"/>
        </w:rPr>
        <w:t xml:space="preserve">приглашением </w:t>
      </w:r>
      <w:r>
        <w:rPr>
          <w:rFonts w:ascii="PT Astra Serif" w:hAnsi="PT Astra Serif"/>
          <w:sz w:val="28"/>
          <w:szCs w:val="28"/>
        </w:rPr>
        <w:t xml:space="preserve">Министра </w:t>
      </w:r>
      <w:r>
        <w:rPr>
          <w:rFonts w:ascii="PT Astra Serif" w:hAnsi="PT Astra Serif"/>
          <w:sz w:val="28"/>
          <w:szCs w:val="28"/>
        </w:rPr>
        <w:t xml:space="preserve">строительства и жилищно-коммунального хозяйства</w:t>
      </w:r>
      <w:r>
        <w:rPr>
          <w:rFonts w:ascii="PT Astra Serif" w:hAnsi="PT Astra Serif"/>
          <w:sz w:val="28"/>
          <w:szCs w:val="28"/>
        </w:rPr>
        <w:t xml:space="preserve"> Алтайского края </w:t>
      </w:r>
      <w:r>
        <w:rPr>
          <w:rFonts w:ascii="PT Astra Serif" w:hAnsi="PT Astra Serif"/>
          <w:sz w:val="28"/>
          <w:szCs w:val="28"/>
        </w:rPr>
        <w:t xml:space="preserve">И.В. Гилевым</w:t>
      </w:r>
      <w:r>
        <w:rPr>
          <w:rFonts w:ascii="PT Astra Serif" w:hAnsi="PT Astra Serif"/>
          <w:sz w:val="28"/>
          <w:szCs w:val="28"/>
        </w:rPr>
        <w:t xml:space="preserve">, в ходе которого обсуждались актуальные вопросы, </w:t>
      </w:r>
      <w:r>
        <w:rPr>
          <w:rFonts w:ascii="PT Astra Serif" w:hAnsi="PT Astra Serif"/>
          <w:sz w:val="28"/>
          <w:szCs w:val="28"/>
        </w:rPr>
        <w:t xml:space="preserve">которые относятся к полномочиям</w:t>
      </w:r>
      <w:r>
        <w:rPr>
          <w:rFonts w:ascii="PT Astra Serif" w:hAnsi="PT Astra Serif"/>
          <w:sz w:val="28"/>
          <w:szCs w:val="28"/>
        </w:rPr>
        <w:t xml:space="preserve"> министерства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  <w:r>
        <w:rPr>
          <w:rFonts w:ascii="PT Astra Serif" w:hAnsi="PT Astra Serif"/>
          <w:sz w:val="28"/>
          <w:szCs w:val="28"/>
        </w:rPr>
        <w:t xml:space="preserve">комитета, заместител</w:t>
      </w:r>
      <w:r>
        <w:rPr>
          <w:rFonts w:ascii="PT Astra Serif" w:hAnsi="PT Astra Serif"/>
          <w:sz w:val="28"/>
          <w:szCs w:val="28"/>
        </w:rPr>
        <w:t xml:space="preserve">ь</w:t>
      </w:r>
      <w:r>
        <w:rPr>
          <w:rFonts w:ascii="PT Astra Serif" w:hAnsi="PT Astra Serif"/>
          <w:sz w:val="28"/>
          <w:szCs w:val="28"/>
        </w:rPr>
        <w:t xml:space="preserve"> председателя комитета и с</w:t>
      </w:r>
      <w:r>
        <w:rPr>
          <w:rFonts w:ascii="PT Astra Serif" w:hAnsi="PT Astra Serif"/>
          <w:sz w:val="28"/>
          <w:szCs w:val="28"/>
        </w:rPr>
        <w:t xml:space="preserve">пециалисты </w:t>
      </w:r>
      <w:r>
        <w:rPr>
          <w:rFonts w:ascii="PT Astra Serif" w:hAnsi="PT Astra Serif"/>
          <w:sz w:val="28"/>
          <w:szCs w:val="28"/>
        </w:rPr>
        <w:t xml:space="preserve">комитета принимали активное участие в выездных обучающих семинар</w:t>
      </w:r>
      <w:r>
        <w:rPr>
          <w:rFonts w:ascii="PT Astra Serif" w:hAnsi="PT Astra Serif"/>
          <w:sz w:val="28"/>
          <w:szCs w:val="28"/>
        </w:rPr>
        <w:t xml:space="preserve">ах</w:t>
      </w:r>
      <w:r>
        <w:rPr>
          <w:rFonts w:ascii="PT Astra Serif" w:hAnsi="PT Astra Serif"/>
          <w:sz w:val="28"/>
          <w:szCs w:val="28"/>
        </w:rPr>
        <w:t xml:space="preserve"> для депутатов представительных органов муниципальных образований края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заседаниях Совета</w:t>
      </w:r>
      <w:r>
        <w:rPr>
          <w:rFonts w:ascii="PT Astra Serif" w:hAnsi="PT Astra Serif"/>
          <w:sz w:val="28"/>
          <w:szCs w:val="28"/>
        </w:rPr>
        <w:t xml:space="preserve"> и Президиума Совета</w:t>
      </w:r>
      <w:r>
        <w:rPr>
          <w:rFonts w:ascii="PT Astra Serif" w:hAnsi="PT Astra Serif"/>
          <w:sz w:val="28"/>
          <w:szCs w:val="28"/>
        </w:rPr>
        <w:t xml:space="preserve"> по взаимодействию Алтайского краевого Законодательного Собрания с представительными органами муниципальных образований,</w:t>
      </w:r>
      <w:r>
        <w:rPr>
          <w:rFonts w:ascii="PT Astra Serif" w:hAnsi="PT Astra Serif"/>
          <w:sz w:val="28"/>
          <w:szCs w:val="28"/>
        </w:rPr>
        <w:t xml:space="preserve"> а также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дн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Алтайского краевого Законодательного Собрания в </w:t>
      </w:r>
      <w:r>
        <w:rPr>
          <w:rFonts w:ascii="PT Astra Serif" w:hAnsi="PT Astra Serif"/>
          <w:sz w:val="28"/>
          <w:szCs w:val="28"/>
        </w:rPr>
        <w:t xml:space="preserve">муниципально</w:t>
      </w:r>
      <w:r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 xml:space="preserve">округ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город Славгород Алтайского края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Комитетом</w:t>
      </w:r>
      <w:r>
        <w:rPr>
          <w:rFonts w:ascii="PT Astra Serif" w:hAnsi="PT Astra Serif"/>
          <w:sz w:val="28"/>
          <w:szCs w:val="28"/>
        </w:rPr>
        <w:t xml:space="preserve"> был</w:t>
      </w:r>
      <w:r>
        <w:rPr>
          <w:rFonts w:ascii="PT Astra Serif" w:hAnsi="PT Astra Serif"/>
          <w:sz w:val="28"/>
          <w:szCs w:val="28"/>
        </w:rPr>
        <w:t xml:space="preserve">и</w:t>
      </w:r>
      <w:r>
        <w:rPr>
          <w:rFonts w:ascii="PT Astra Serif" w:hAnsi="PT Astra Serif"/>
          <w:sz w:val="28"/>
          <w:szCs w:val="28"/>
        </w:rPr>
        <w:t xml:space="preserve"> рассмотрен</w:t>
      </w:r>
      <w:r>
        <w:rPr>
          <w:rFonts w:ascii="PT Astra Serif" w:hAnsi="PT Astra Serif"/>
          <w:sz w:val="28"/>
          <w:szCs w:val="28"/>
        </w:rPr>
        <w:t xml:space="preserve">ы</w:t>
      </w:r>
      <w:r>
        <w:rPr>
          <w:rFonts w:ascii="PT Astra Serif" w:hAnsi="PT Astra Serif"/>
          <w:sz w:val="28"/>
          <w:szCs w:val="28"/>
        </w:rPr>
        <w:t xml:space="preserve"> в установленном порядке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91 </w:t>
      </w: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</w:t>
      </w:r>
      <w:r>
        <w:rPr>
          <w:rFonts w:ascii="PT Astra Serif" w:hAnsi="PT Astra Serif"/>
          <w:sz w:val="28"/>
          <w:szCs w:val="28"/>
        </w:rPr>
        <w:t xml:space="preserve">едеральных законов, </w:t>
      </w:r>
      <w:r>
        <w:rPr>
          <w:rFonts w:ascii="PT Astra Serif" w:hAnsi="PT Astra Serif"/>
          <w:sz w:val="28"/>
          <w:szCs w:val="28"/>
        </w:rPr>
        <w:t xml:space="preserve">31 </w:t>
      </w:r>
      <w:bookmarkStart w:id="0" w:name="undefined"/>
      <w:r>
        <w:rPr>
          <w:rFonts w:ascii="PT Astra Serif" w:hAnsi="PT Astra Serif"/>
          <w:color w:val="000000"/>
          <w:sz w:val="28"/>
          <w:szCs w:val="28"/>
        </w:rPr>
        <w:t xml:space="preserve">постановлени</w:t>
      </w:r>
      <w:r>
        <w:rPr>
          <w:rFonts w:ascii="PT Astra Serif" w:hAnsi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/>
          <w:color w:val="000000"/>
          <w:sz w:val="28"/>
          <w:szCs w:val="28"/>
        </w:rPr>
        <w:t xml:space="preserve"> Государственной Думы Федерального Собрания Российской Федерации о проектах федеральных законов, принятых в первом чтении</w:t>
      </w:r>
      <w:bookmarkEnd w:id="0"/>
      <w:r>
        <w:rPr>
          <w:rFonts w:ascii="PT Astra Serif" w:hAnsi="PT Astra Serif"/>
          <w:color w:val="000000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апреле</w:t>
      </w:r>
      <w:r>
        <w:rPr>
          <w:rFonts w:ascii="PT Astra Serif" w:hAnsi="PT Astra Serif"/>
          <w:sz w:val="28"/>
          <w:szCs w:val="28"/>
        </w:rPr>
        <w:t xml:space="preserve"> состоялось интернет-конференци</w:t>
      </w:r>
      <w:r>
        <w:rPr>
          <w:rFonts w:ascii="PT Astra Serif" w:hAnsi="PT Astra Serif"/>
          <w:sz w:val="28"/>
          <w:szCs w:val="28"/>
        </w:rPr>
        <w:t xml:space="preserve">я</w:t>
      </w:r>
      <w:r>
        <w:rPr>
          <w:rFonts w:ascii="PT Astra Serif" w:hAnsi="PT Astra Serif"/>
          <w:sz w:val="28"/>
          <w:szCs w:val="28"/>
        </w:rPr>
        <w:t xml:space="preserve"> с председателем комитета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И.</w:t>
      </w:r>
      <w:r>
        <w:rPr>
          <w:rFonts w:ascii="PT Astra Serif" w:hAnsi="PT Astra Serif"/>
          <w:sz w:val="28"/>
          <w:szCs w:val="28"/>
        </w:rPr>
        <w:t xml:space="preserve">И. Панариным</w:t>
      </w:r>
      <w:r>
        <w:rPr>
          <w:rFonts w:ascii="PT Astra Serif" w:hAnsi="PT Astra Serif"/>
          <w:sz w:val="28"/>
          <w:szCs w:val="28"/>
        </w:rPr>
        <w:t xml:space="preserve">, в ходе котор</w:t>
      </w:r>
      <w:r>
        <w:rPr>
          <w:rFonts w:ascii="PT Astra Serif" w:hAnsi="PT Astra Serif"/>
          <w:sz w:val="28"/>
          <w:szCs w:val="28"/>
        </w:rPr>
        <w:t xml:space="preserve">ой </w:t>
      </w:r>
      <w:r>
        <w:rPr>
          <w:rFonts w:ascii="PT Astra Serif" w:hAnsi="PT Astra Serif"/>
          <w:sz w:val="28"/>
          <w:szCs w:val="28"/>
        </w:rPr>
        <w:t xml:space="preserve">поступило </w:t>
      </w: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 вопрос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. Ответы на вопросы были подготовлены своевременно.</w:t>
      </w: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течение года</w:t>
      </w:r>
      <w:r>
        <w:rPr>
          <w:rFonts w:ascii="PT Astra Serif" w:hAnsi="PT Astra Serif"/>
          <w:sz w:val="28"/>
          <w:szCs w:val="28"/>
        </w:rPr>
        <w:t xml:space="preserve"> комитетом регулярно проводились</w:t>
      </w:r>
      <w:r>
        <w:rPr>
          <w:rFonts w:ascii="PT Astra Serif" w:hAnsi="PT Astra Serif"/>
          <w:sz w:val="28"/>
          <w:szCs w:val="28"/>
        </w:rPr>
        <w:t xml:space="preserve"> рабочие совещания по обсуждению проектов законов по предметам ведения комитета, по</w:t>
      </w:r>
      <w:r>
        <w:rPr>
          <w:rFonts w:ascii="PT Astra Serif" w:hAnsi="PT Astra Serif"/>
          <w:sz w:val="28"/>
          <w:szCs w:val="28"/>
        </w:rPr>
        <w:t xml:space="preserve"> рассмотрению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обращений</w:t>
      </w:r>
      <w:r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 xml:space="preserve"> и организаций</w:t>
      </w:r>
      <w:r>
        <w:rPr>
          <w:rFonts w:ascii="PT Astra Serif" w:hAnsi="PT Astra Serif"/>
          <w:sz w:val="28"/>
          <w:szCs w:val="28"/>
        </w:rPr>
        <w:t xml:space="preserve">, в том числе выездные.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Сотрудниками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 комитета в течение года своевременно осуществлялась подготовка сессионных документов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отзывов на проекты федеральных законов, информационно-аналитически</w:t>
      </w:r>
      <w:r>
        <w:rPr>
          <w:rFonts w:ascii="PT Astra Serif" w:hAnsi="PT Astra Serif"/>
          <w:sz w:val="28"/>
          <w:szCs w:val="28"/>
        </w:rPr>
        <w:t xml:space="preserve">х</w:t>
      </w:r>
      <w:r>
        <w:rPr>
          <w:rFonts w:ascii="PT Astra Serif" w:hAnsi="PT Astra Serif"/>
          <w:sz w:val="28"/>
          <w:szCs w:val="28"/>
        </w:rPr>
        <w:t xml:space="preserve"> материал</w:t>
      </w:r>
      <w:r>
        <w:rPr>
          <w:rFonts w:ascii="PT Astra Serif" w:hAnsi="PT Astra Serif"/>
          <w:sz w:val="28"/>
          <w:szCs w:val="28"/>
        </w:rPr>
        <w:t xml:space="preserve">ов и</w:t>
      </w:r>
      <w:r>
        <w:rPr>
          <w:rFonts w:ascii="PT Astra Serif" w:hAnsi="PT Astra Serif"/>
          <w:sz w:val="28"/>
          <w:szCs w:val="28"/>
        </w:rPr>
        <w:t xml:space="preserve"> справ</w:t>
      </w:r>
      <w:r>
        <w:rPr>
          <w:rFonts w:ascii="PT Astra Serif" w:hAnsi="PT Astra Serif"/>
          <w:sz w:val="28"/>
          <w:szCs w:val="28"/>
        </w:rPr>
        <w:t xml:space="preserve">ок</w:t>
      </w:r>
      <w:r>
        <w:rPr>
          <w:rFonts w:ascii="PT Astra Serif" w:hAnsi="PT Astra Serif"/>
          <w:sz w:val="28"/>
          <w:szCs w:val="28"/>
        </w:rPr>
        <w:t xml:space="preserve"> для председателя Алтайского краевого Законодательного Собрания</w:t>
      </w:r>
      <w:r>
        <w:rPr>
          <w:rFonts w:ascii="PT Astra Serif" w:hAnsi="PT Astra Serif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членов комитета.</w:t>
      </w:r>
      <w:r>
        <w:rPr>
          <w:rFonts w:ascii="PT Astra Serif" w:hAnsi="PT Astra Serif"/>
          <w:sz w:val="28"/>
          <w:szCs w:val="28"/>
        </w:rPr>
        <w:t xml:space="preserve"> Председатель комитета принимал участие в заседаниях коллегий Счетной палаты Алтайского края</w:t>
      </w:r>
      <w:r>
        <w:rPr>
          <w:rFonts w:ascii="PT Astra Serif" w:hAnsi="PT Astra Serif"/>
          <w:sz w:val="28"/>
          <w:szCs w:val="28"/>
        </w:rPr>
        <w:t xml:space="preserve">, в рамках которых рассматривались результаты проведенных контрольных мероприятий.</w:t>
      </w:r>
    </w:p>
    <w:p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Результатом совместной работы комитета с исполнительными органами региона и администрации Третьяковского района стало возобновление муниципальных пассажирских перевозок в районе с 15 мая. Их на выделенном краевыми властями транспорте осуществляет предприятие ООО «Курсус». С 22 сентября текущего года организация приступила к перевозкам в Третьяковском районе по четырем маршрутам, охватывающим территорию всего района, что позволило обеспечить транспортную доступность к медицинским, социальным и иным учреждениям для жителей всех населенных пунктов, в том числе отдаленных и малочисленных. На территории Третьяковского района общественный транспорт не работал с 2021 года.  Данный опыт может быть применен на территориях других муниципальных образованиях.</w:t>
      </w:r>
    </w:p>
    <w:p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Вопрос сохранения и развития уникального камнерезного производства на базе АО «Колыванский камнерезный завод имени И.И. Ползунова» остается на постоянном контроле комитета. Продукция завода украшает выставочные залы Государственного Эрмитажа, Государственного исторического музея в Москве и других музеев во многих странах мира.</w:t>
      </w:r>
    </w:p>
    <w:p>
      <w:pPr>
        <w:spacing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2025 году объем поддержки АО «Колыванский камнерезный завод имени И.И. Ползунова» составил 50,0 млн. рублей, в том числе на закупку изделий из натурального камня – 40,0 млн. рублей, на оснащение завода новым оборудованием – 10,0 млн. рублей. Кроме того, продолжается капитальный ремонт водоотводного канала на территории завода, на который предусмотрено 61,7 млн. рублей.</w:t>
      </w:r>
    </w:p>
    <w:p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2026 году на поддержку по предложению комитета АО «Колыванский камнерезный завод имени И.И. Ползунова» предусмотрено 52,0 млн. рублей, в том числе на закупку изделий из натурального камня – 30,0 млн. рублей, на оснащение новым оборудованием, необходимым для технического переоснащения завода – 22,0 млн. рублей. Продолжается работа по созданию филиала краевого государственного бюджетного учреждения «Алтайский государственный краеведческий музей» на базе муниципального бюджетного учреждения культуры «Колыванский музей истории камнерезного дела на Алтае».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88914328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5BF06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FF54F0C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75D619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FFA2A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49606FE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000000"/>
        <w:u w:val="none"/>
      </w:rPr>
    </w:lvl>
    <w:lvl w:ilvl="1" w:tentative="1" w:tplc="04190019">
      <w:start w:val="1"/>
      <w:numFmt w:val="lowerLetter"/>
      <w:lvlText w:val="%2."/>
      <w:lvlJc w:val="left"/>
      <w:pPr>
        <w:ind w:left="796" w:hanging="360"/>
      </w:pPr>
    </w:lvl>
    <w:lvl w:ilvl="2" w:tentative="1" w:tplc="0419001B">
      <w:start w:val="1"/>
      <w:numFmt w:val="lowerRoman"/>
      <w:lvlText w:val="%3."/>
      <w:lvlJc w:val="right"/>
      <w:pPr>
        <w:ind w:left="1516" w:hanging="180"/>
      </w:pPr>
    </w:lvl>
    <w:lvl w:ilvl="3" w:tentative="1" w:tplc="0419000F">
      <w:start w:val="1"/>
      <w:numFmt w:val="decimal"/>
      <w:lvlText w:val="%4."/>
      <w:lvlJc w:val="left"/>
      <w:pPr>
        <w:ind w:left="2236" w:hanging="360"/>
      </w:pPr>
    </w:lvl>
    <w:lvl w:ilvl="4" w:tentative="1" w:tplc="04190019">
      <w:start w:val="1"/>
      <w:numFmt w:val="lowerLetter"/>
      <w:lvlText w:val="%5."/>
      <w:lvlJc w:val="left"/>
      <w:pPr>
        <w:ind w:left="2956" w:hanging="360"/>
      </w:pPr>
    </w:lvl>
    <w:lvl w:ilvl="5" w:tentative="1" w:tplc="0419001B">
      <w:start w:val="1"/>
      <w:numFmt w:val="lowerRoman"/>
      <w:lvlText w:val="%6."/>
      <w:lvlJc w:val="right"/>
      <w:pPr>
        <w:ind w:left="3676" w:hanging="180"/>
      </w:pPr>
    </w:lvl>
    <w:lvl w:ilvl="6" w:tentative="1" w:tplc="0419000F">
      <w:start w:val="1"/>
      <w:numFmt w:val="decimal"/>
      <w:lvlText w:val="%7."/>
      <w:lvlJc w:val="left"/>
      <w:pPr>
        <w:ind w:left="4396" w:hanging="360"/>
      </w:pPr>
    </w:lvl>
    <w:lvl w:ilvl="7" w:tentative="1" w:tplc="04190019">
      <w:start w:val="1"/>
      <w:numFmt w:val="lowerLetter"/>
      <w:lvlText w:val="%8."/>
      <w:lvlJc w:val="left"/>
      <w:pPr>
        <w:ind w:left="5116" w:hanging="360"/>
      </w:pPr>
    </w:lvl>
    <w:lvl w:ilvl="8" w:tentative="1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multiLevelType w:val="hybridMultilevel"/>
    <w:lvl w:ilvl="0" w:tplc="D868A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st" w:customStyle="1">
    <w:name w:val="st"/>
    <w:basedOn w:val="a0"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 w:customStyle="1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F32A-F68F-46C8-A88E-B855093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8420</Characters>
  <CharactersWithSpaces>9878</CharactersWithSpaces>
  <Company/>
  <DocSecurity>0</DocSecurity>
  <HyperlinksChanged>false</HyperlinksChanged>
  <Lines>70</Lines>
  <LinksUpToDate>false</LinksUpToDate>
  <Pages>4</Pages>
  <Paragraphs>19</Paragraphs>
  <ScaleCrop>false</ScaleCrop>
  <SharedDoc>false</SharedDoc>
  <Template>Normal</Template>
  <TotalTime>295</TotalTime>
  <Words>1477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Светлана Александровна Краева</cp:lastModifiedBy>
  <cp:revision>3</cp:revision>
  <cp:lastPrinted>2020-01-14T07:18:00Z</cp:lastPrinted>
  <dcterms:created xsi:type="dcterms:W3CDTF">2026-01-19T02:26:00Z</dcterms:created>
  <dcterms:modified xsi:type="dcterms:W3CDTF">2026-01-20T01:58:00Z</dcterms:modified>
</cp:coreProperties>
</file>